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3031E" w:rsidRDefault="000635A9">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#102-e</w:t>
      </w:r>
      <w:r>
        <w:rPr>
          <w:rFonts w:ascii="Arial" w:hAnsi="Arial" w:cs="Arial"/>
          <w:b/>
          <w:bCs/>
          <w:sz w:val="22"/>
          <w:szCs w:val="22"/>
        </w:rPr>
        <w:tab/>
      </w:r>
      <w:r>
        <w:rPr>
          <w:rFonts w:ascii="Arial" w:hAnsi="Arial" w:cs="Arial"/>
          <w:b/>
          <w:bCs/>
          <w:sz w:val="22"/>
          <w:szCs w:val="22"/>
        </w:rPr>
        <w:tab/>
        <w:t>R1-20</w:t>
      </w:r>
      <w:r>
        <w:rPr>
          <w:rFonts w:ascii="Arial" w:hAnsi="Arial" w:cs="Arial" w:hint="eastAsia"/>
          <w:b/>
          <w:bCs/>
          <w:sz w:val="22"/>
          <w:szCs w:val="22"/>
        </w:rPr>
        <w:t>05310</w:t>
      </w:r>
    </w:p>
    <w:p w:rsidR="0003031E" w:rsidRDefault="000635A9">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 August 17th – 28th, 2020</w:t>
      </w:r>
    </w:p>
    <w:p w:rsidR="0003031E" w:rsidRDefault="000635A9" w:rsidP="0013351F">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resource allocation for power saving</w:t>
      </w:r>
    </w:p>
    <w:p w:rsidR="0003031E" w:rsidRDefault="000635A9">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03031E" w:rsidRDefault="000635A9">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8.11.2.1</w:t>
      </w:r>
    </w:p>
    <w:p w:rsidR="0003031E" w:rsidRDefault="000635A9">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3031E" w:rsidRDefault="000635A9">
      <w:pPr>
        <w:pStyle w:val="1"/>
        <w:spacing w:before="120" w:after="120"/>
        <w:ind w:left="0"/>
        <w:rPr>
          <w:rFonts w:eastAsia="宋体"/>
        </w:rPr>
      </w:pPr>
      <w:r>
        <w:rPr>
          <w:rFonts w:eastAsia="宋体" w:hint="eastAsia"/>
        </w:rPr>
        <w:t>Introduction</w:t>
      </w:r>
    </w:p>
    <w:p w:rsidR="0003031E" w:rsidRDefault="000635A9">
      <w:pPr>
        <w:spacing w:before="120" w:after="120"/>
        <w:rPr>
          <w:sz w:val="20"/>
        </w:rPr>
      </w:pPr>
      <w:r>
        <w:rPr>
          <w:rFonts w:hint="eastAsia"/>
          <w:sz w:val="20"/>
        </w:rPr>
        <w:t xml:space="preserve">In Rel-16, NR </w:t>
      </w:r>
      <w:proofErr w:type="spellStart"/>
      <w:r>
        <w:rPr>
          <w:rFonts w:hint="eastAsia"/>
          <w:sz w:val="20"/>
        </w:rPr>
        <w:t>sidelink</w:t>
      </w:r>
      <w:proofErr w:type="spellEnd"/>
      <w:r>
        <w:rPr>
          <w:rFonts w:hint="eastAsia"/>
          <w:sz w:val="20"/>
        </w:rPr>
        <w:t xml:space="preserve"> is designed based on the UEs installed in vehicles with sufficient battery capacity, i.e., vehicle UE (named V-UE). In Rel-17, solutions for power saving are considered for vulnerable road user (VRUs) in V2X use cases </w:t>
      </w:r>
      <w:r>
        <w:rPr>
          <w:sz w:val="20"/>
          <w:lang w:eastAsia="ko-KR"/>
        </w:rPr>
        <w:t>and for UEs in public safety and commercial use cases where power consumption in the UEs needs to be minimized</w:t>
      </w:r>
      <w:r>
        <w:rPr>
          <w:rFonts w:hint="eastAsia"/>
          <w:sz w:val="20"/>
        </w:rPr>
        <w:t xml:space="preserve">. According to the WID for NR </w:t>
      </w:r>
      <w:proofErr w:type="spellStart"/>
      <w:r>
        <w:rPr>
          <w:rFonts w:hint="eastAsia"/>
          <w:sz w:val="20"/>
        </w:rPr>
        <w:t>sidelink</w:t>
      </w:r>
      <w:proofErr w:type="spellEnd"/>
      <w:r>
        <w:rPr>
          <w:rFonts w:hint="eastAsia"/>
          <w:sz w:val="20"/>
        </w:rPr>
        <w:t xml:space="preserve"> enhancement updated in </w:t>
      </w:r>
      <w:r>
        <w:rPr>
          <w:sz w:val="20"/>
        </w:rPr>
        <w:t>RAN #</w:t>
      </w:r>
      <w:r>
        <w:rPr>
          <w:rFonts w:hint="eastAsia"/>
          <w:sz w:val="20"/>
        </w:rPr>
        <w:t>88</w:t>
      </w:r>
      <w:r>
        <w:rPr>
          <w:sz w:val="20"/>
        </w:rPr>
        <w:t xml:space="preserve"> meeting, the following </w:t>
      </w:r>
      <w:r>
        <w:rPr>
          <w:rFonts w:hint="eastAsia"/>
          <w:sz w:val="20"/>
        </w:rPr>
        <w:t xml:space="preserve">objective is </w:t>
      </w:r>
      <w:r>
        <w:rPr>
          <w:sz w:val="20"/>
        </w:rPr>
        <w:t>made</w:t>
      </w:r>
      <w:r>
        <w:rPr>
          <w:rFonts w:hint="eastAsia"/>
          <w:sz w:val="20"/>
        </w:rPr>
        <w:t xml:space="preserve"> for resource allocation enhancement</w:t>
      </w:r>
      <w:r>
        <w:rPr>
          <w:sz w:val="20"/>
        </w:rPr>
        <w:t xml:space="preserve"> [</w:t>
      </w:r>
      <w:r>
        <w:rPr>
          <w:rFonts w:hint="eastAsia"/>
          <w:sz w:val="20"/>
        </w:rPr>
        <w:t>1</w:t>
      </w:r>
      <w:r>
        <w:rPr>
          <w:sz w:val="20"/>
        </w:rPr>
        <w:t>]:</w:t>
      </w:r>
    </w:p>
    <w:p w:rsidR="0003031E" w:rsidRDefault="000635A9">
      <w:pPr>
        <w:spacing w:before="120" w:after="120"/>
        <w:rPr>
          <w:i/>
          <w:iCs/>
          <w:sz w:val="20"/>
          <w:lang w:eastAsia="ko-KR"/>
        </w:rPr>
      </w:pPr>
      <w:r>
        <w:rPr>
          <w:i/>
          <w:iCs/>
          <w:sz w:val="20"/>
          <w:lang w:eastAsia="ko-KR"/>
        </w:rPr>
        <w:t>Resource allocation enhancement:</w:t>
      </w:r>
    </w:p>
    <w:p w:rsidR="0003031E" w:rsidRDefault="000635A9">
      <w:pPr>
        <w:numPr>
          <w:ilvl w:val="0"/>
          <w:numId w:val="6"/>
        </w:numPr>
        <w:spacing w:before="120" w:after="120"/>
        <w:rPr>
          <w:i/>
          <w:iCs/>
          <w:sz w:val="20"/>
          <w:lang w:eastAsia="ko-KR"/>
        </w:rPr>
      </w:pPr>
      <w:r>
        <w:rPr>
          <w:i/>
          <w:iCs/>
          <w:sz w:val="20"/>
          <w:lang w:eastAsia="ko-KR"/>
        </w:rPr>
        <w:t>Specify resource allocation to reduce power consumption of the UEs [RAN1, RAN2]</w:t>
      </w:r>
    </w:p>
    <w:p w:rsidR="0003031E" w:rsidRDefault="000635A9">
      <w:pPr>
        <w:numPr>
          <w:ilvl w:val="1"/>
          <w:numId w:val="6"/>
        </w:numPr>
        <w:spacing w:before="120" w:after="120"/>
        <w:rPr>
          <w:i/>
          <w:iCs/>
          <w:sz w:val="20"/>
          <w:lang w:eastAsia="ko-KR"/>
        </w:rPr>
      </w:pPr>
      <w:r>
        <w:rPr>
          <w:i/>
          <w:iCs/>
          <w:sz w:val="20"/>
          <w:lang w:eastAsia="ko-KR"/>
        </w:rPr>
        <w:t xml:space="preserve">Baseline is to introduce the principle of Rel-14 LTE </w:t>
      </w:r>
      <w:proofErr w:type="spellStart"/>
      <w:r>
        <w:rPr>
          <w:i/>
          <w:iCs/>
          <w:sz w:val="20"/>
          <w:lang w:eastAsia="ko-KR"/>
        </w:rPr>
        <w:t>sidelink</w:t>
      </w:r>
      <w:proofErr w:type="spellEnd"/>
      <w:r>
        <w:rPr>
          <w:i/>
          <w:iCs/>
          <w:sz w:val="20"/>
          <w:lang w:eastAsia="ko-KR"/>
        </w:rPr>
        <w:t xml:space="preserve"> random resource selection and partial sensing to Rel-16 NR </w:t>
      </w:r>
      <w:proofErr w:type="spellStart"/>
      <w:r>
        <w:rPr>
          <w:i/>
          <w:iCs/>
          <w:sz w:val="20"/>
          <w:lang w:eastAsia="ko-KR"/>
        </w:rPr>
        <w:t>sidelink</w:t>
      </w:r>
      <w:proofErr w:type="spellEnd"/>
      <w:r>
        <w:rPr>
          <w:i/>
          <w:iCs/>
          <w:sz w:val="20"/>
          <w:lang w:eastAsia="ko-KR"/>
        </w:rPr>
        <w:t xml:space="preserve"> resource allocation mode 2.</w:t>
      </w:r>
    </w:p>
    <w:p w:rsidR="0003031E" w:rsidRDefault="000635A9">
      <w:pPr>
        <w:numPr>
          <w:ilvl w:val="1"/>
          <w:numId w:val="6"/>
        </w:numPr>
        <w:spacing w:before="120" w:after="120"/>
        <w:rPr>
          <w:sz w:val="20"/>
          <w:lang w:eastAsia="ko-KR"/>
        </w:rPr>
      </w:pPr>
      <w:r>
        <w:rPr>
          <w:i/>
          <w:iCs/>
          <w:sz w:val="20"/>
          <w:lang w:eastAsia="ko-KR"/>
        </w:rPr>
        <w:t>Note: Taking Rel-14 as the baseline does not preclude introducing a new solution to reduce power consumption for the cases where the baseline cannot work properly.</w:t>
      </w:r>
    </w:p>
    <w:p w:rsidR="0003031E" w:rsidRDefault="0003031E">
      <w:pPr>
        <w:spacing w:before="120" w:after="120"/>
        <w:rPr>
          <w:sz w:val="20"/>
        </w:rPr>
      </w:pPr>
    </w:p>
    <w:p w:rsidR="0003031E" w:rsidRDefault="000635A9">
      <w:pPr>
        <w:spacing w:before="120" w:after="120"/>
        <w:rPr>
          <w:sz w:val="20"/>
        </w:rPr>
      </w:pPr>
      <w:r>
        <w:rPr>
          <w:sz w:val="20"/>
        </w:rPr>
        <w:t>In this contribution, we</w:t>
      </w:r>
      <w:r>
        <w:rPr>
          <w:rFonts w:hint="eastAsia"/>
          <w:sz w:val="20"/>
        </w:rPr>
        <w:t xml:space="preserve"> will make discussion on resource allocation for power saving</w:t>
      </w:r>
      <w:r>
        <w:rPr>
          <w:sz w:val="20"/>
        </w:rPr>
        <w:t>.</w:t>
      </w:r>
    </w:p>
    <w:p w:rsidR="0003031E" w:rsidRDefault="000635A9">
      <w:pPr>
        <w:pStyle w:val="1"/>
        <w:spacing w:before="120" w:after="120"/>
        <w:ind w:left="0"/>
      </w:pPr>
      <w:r>
        <w:rPr>
          <w:rFonts w:hint="eastAsia"/>
        </w:rPr>
        <w:t>Discussion</w:t>
      </w:r>
      <w:r>
        <w:t>s</w:t>
      </w:r>
      <w:r>
        <w:rPr>
          <w:rFonts w:hint="eastAsia"/>
        </w:rPr>
        <w:t xml:space="preserve"> </w:t>
      </w:r>
    </w:p>
    <w:p w:rsidR="0003031E" w:rsidRDefault="000635A9">
      <w:pPr>
        <w:pStyle w:val="2"/>
        <w:spacing w:before="120" w:after="120" w:line="260" w:lineRule="auto"/>
        <w:ind w:left="0" w:right="210"/>
        <w:rPr>
          <w:szCs w:val="22"/>
        </w:rPr>
      </w:pPr>
      <w:r>
        <w:rPr>
          <w:rFonts w:hint="eastAsia"/>
          <w:szCs w:val="22"/>
        </w:rPr>
        <w:t>Resource selection for P-UE</w:t>
      </w:r>
    </w:p>
    <w:p w:rsidR="0003031E" w:rsidRDefault="000635A9">
      <w:pPr>
        <w:spacing w:before="120" w:after="120"/>
        <w:rPr>
          <w:sz w:val="20"/>
          <w:szCs w:val="22"/>
        </w:rPr>
      </w:pPr>
      <w:r>
        <w:rPr>
          <w:rFonts w:hint="eastAsia"/>
          <w:sz w:val="20"/>
          <w:szCs w:val="22"/>
        </w:rPr>
        <w:t xml:space="preserve">In LTE V2X, random resource selection and partial sensing are both supported for pedestrian user (named P-UE) for power saving. For random resource selection, resource sensing is not needed. For partial sensing, a part of </w:t>
      </w:r>
      <w:proofErr w:type="spellStart"/>
      <w:r>
        <w:rPr>
          <w:rFonts w:hint="eastAsia"/>
          <w:sz w:val="20"/>
          <w:szCs w:val="22"/>
        </w:rPr>
        <w:t>subframes</w:t>
      </w:r>
      <w:proofErr w:type="spellEnd"/>
      <w:r>
        <w:rPr>
          <w:rFonts w:hint="eastAsia"/>
          <w:sz w:val="20"/>
          <w:szCs w:val="22"/>
        </w:rPr>
        <w:t xml:space="preserve"> in the selection window are determined for candidate </w:t>
      </w:r>
      <w:proofErr w:type="spellStart"/>
      <w:r>
        <w:rPr>
          <w:rFonts w:hint="eastAsia"/>
          <w:sz w:val="20"/>
          <w:szCs w:val="22"/>
        </w:rPr>
        <w:t>subframes</w:t>
      </w:r>
      <w:proofErr w:type="spellEnd"/>
      <w:r>
        <w:rPr>
          <w:rFonts w:hint="eastAsia"/>
          <w:sz w:val="20"/>
          <w:szCs w:val="22"/>
        </w:rPr>
        <w:t xml:space="preserve"> for resource selection and P-UE shall perform sensing only in a part of </w:t>
      </w:r>
      <w:proofErr w:type="spellStart"/>
      <w:r>
        <w:rPr>
          <w:rFonts w:hint="eastAsia"/>
          <w:sz w:val="20"/>
          <w:szCs w:val="22"/>
        </w:rPr>
        <w:t>subframes</w:t>
      </w:r>
      <w:proofErr w:type="spellEnd"/>
      <w:r>
        <w:rPr>
          <w:rFonts w:hint="eastAsia"/>
          <w:sz w:val="20"/>
          <w:szCs w:val="22"/>
        </w:rPr>
        <w:t xml:space="preserve"> in the monitored window according to high layer parameter. By this means, power consumption will be reduced. In our view, the mechanism in LTE V2X can be reused for P2V transmission in Rel-17.</w:t>
      </w:r>
    </w:p>
    <w:p w:rsidR="0003031E" w:rsidRDefault="000635A9" w:rsidP="007D3CD0">
      <w:pPr>
        <w:pStyle w:val="YJ-Proposal"/>
        <w:spacing w:before="120" w:after="120"/>
      </w:pPr>
      <w:bookmarkStart w:id="0" w:name="_Toc25878"/>
      <w:r>
        <w:rPr>
          <w:rFonts w:hint="eastAsia"/>
          <w:szCs w:val="22"/>
          <w:lang w:val="en-US" w:eastAsia="zh-CN"/>
        </w:rPr>
        <w:t>R</w:t>
      </w:r>
      <w:proofErr w:type="spellStart"/>
      <w:r>
        <w:rPr>
          <w:rFonts w:hint="eastAsia"/>
          <w:szCs w:val="22"/>
        </w:rPr>
        <w:t>andom</w:t>
      </w:r>
      <w:proofErr w:type="spellEnd"/>
      <w:r>
        <w:rPr>
          <w:rFonts w:hint="eastAsia"/>
          <w:szCs w:val="22"/>
        </w:rPr>
        <w:t xml:space="preserve"> resource selection and partial sensing</w:t>
      </w:r>
      <w:r>
        <w:rPr>
          <w:rFonts w:hint="eastAsia"/>
          <w:szCs w:val="22"/>
          <w:lang w:val="en-US" w:eastAsia="zh-CN"/>
        </w:rPr>
        <w:t xml:space="preserve"> in LTE V2X are reused for P-UE in Rel-17.</w:t>
      </w:r>
      <w:bookmarkEnd w:id="0"/>
    </w:p>
    <w:p w:rsidR="0003031E" w:rsidRDefault="000635A9">
      <w:pPr>
        <w:pStyle w:val="2"/>
        <w:spacing w:before="120" w:after="120" w:line="260" w:lineRule="auto"/>
        <w:ind w:left="0" w:right="210"/>
        <w:rPr>
          <w:szCs w:val="22"/>
        </w:rPr>
      </w:pPr>
      <w:r>
        <w:rPr>
          <w:rFonts w:hint="eastAsia"/>
          <w:szCs w:val="22"/>
        </w:rPr>
        <w:t>Reception for P-UE</w:t>
      </w:r>
    </w:p>
    <w:p w:rsidR="0003031E" w:rsidRDefault="000635A9">
      <w:pPr>
        <w:spacing w:before="120" w:after="120"/>
        <w:rPr>
          <w:sz w:val="20"/>
          <w:szCs w:val="22"/>
        </w:rPr>
      </w:pPr>
      <w:r>
        <w:rPr>
          <w:rFonts w:hint="eastAsia"/>
          <w:sz w:val="20"/>
          <w:szCs w:val="22"/>
        </w:rPr>
        <w:t xml:space="preserve">In LTE V2X, P-UE supports P2V transmission and does not support V2X reception. In Rel-17, some new </w:t>
      </w:r>
      <w:r>
        <w:rPr>
          <w:sz w:val="20"/>
        </w:rPr>
        <w:t>use cases</w:t>
      </w:r>
      <w:r>
        <w:rPr>
          <w:rFonts w:hint="eastAsia"/>
          <w:sz w:val="20"/>
        </w:rPr>
        <w:t xml:space="preserve"> may be needed to be supported, such as tethering via vehicle and dynamic ride sharing. In the use case of tethering via vehicle, P-UE </w:t>
      </w:r>
      <w:r>
        <w:rPr>
          <w:sz w:val="20"/>
          <w:lang w:eastAsia="en-US"/>
        </w:rPr>
        <w:t xml:space="preserve">obtains access to the network </w:t>
      </w:r>
      <w:r>
        <w:rPr>
          <w:rFonts w:hint="eastAsia"/>
          <w:sz w:val="20"/>
        </w:rPr>
        <w:t>via vehicle. It needs to receive network (downlink) data relayed from vehicle. In the use case of dynamic ride sharing, similarly, the P-UE needs to receive the sharing information from vehicle. It can be seen that the requirements of reception for P-UE is necessary in Rel-17.</w:t>
      </w:r>
    </w:p>
    <w:p w:rsidR="0003031E" w:rsidRDefault="000635A9" w:rsidP="007D3CD0">
      <w:pPr>
        <w:pStyle w:val="YJ-Proposal"/>
        <w:spacing w:before="120" w:after="120"/>
      </w:pPr>
      <w:bookmarkStart w:id="1" w:name="_Toc22986"/>
      <w:r>
        <w:rPr>
          <w:rFonts w:hint="eastAsia"/>
          <w:lang w:val="en-US" w:eastAsia="zh-CN"/>
        </w:rPr>
        <w:t xml:space="preserve">Support reception of </w:t>
      </w:r>
      <w:proofErr w:type="spellStart"/>
      <w:r>
        <w:rPr>
          <w:rFonts w:hint="eastAsia"/>
          <w:lang w:val="en-US" w:eastAsia="zh-CN"/>
        </w:rPr>
        <w:t>sidelink</w:t>
      </w:r>
      <w:proofErr w:type="spellEnd"/>
      <w:r>
        <w:rPr>
          <w:rFonts w:hint="eastAsia"/>
          <w:lang w:val="en-US" w:eastAsia="zh-CN"/>
        </w:rPr>
        <w:t xml:space="preserve"> communication for P-UE in Rel-17.</w:t>
      </w:r>
      <w:bookmarkEnd w:id="1"/>
    </w:p>
    <w:p w:rsidR="0003031E" w:rsidRDefault="000635A9">
      <w:pPr>
        <w:pStyle w:val="2"/>
        <w:spacing w:before="120" w:after="120" w:line="260" w:lineRule="auto"/>
        <w:ind w:left="0" w:right="210"/>
      </w:pPr>
      <w:r>
        <w:rPr>
          <w:rFonts w:hint="eastAsia"/>
        </w:rPr>
        <w:lastRenderedPageBreak/>
        <w:t>Narrow bandwidth for P-UE</w:t>
      </w:r>
    </w:p>
    <w:p w:rsidR="0003031E" w:rsidRDefault="000635A9">
      <w:pPr>
        <w:spacing w:before="120" w:after="120"/>
        <w:rPr>
          <w:sz w:val="20"/>
        </w:rPr>
      </w:pPr>
      <w:r>
        <w:rPr>
          <w:rFonts w:hint="eastAsia"/>
          <w:sz w:val="20"/>
          <w:szCs w:val="22"/>
        </w:rPr>
        <w:t xml:space="preserve">In LTE V2X (Rel-14), the maximum system bandwidth is 20 MHz, P-UE (named pedestrian user) can operate </w:t>
      </w:r>
      <w:proofErr w:type="spellStart"/>
      <w:r>
        <w:rPr>
          <w:rFonts w:hint="eastAsia"/>
          <w:sz w:val="20"/>
          <w:szCs w:val="22"/>
        </w:rPr>
        <w:t>sidelink</w:t>
      </w:r>
      <w:proofErr w:type="spellEnd"/>
      <w:r>
        <w:rPr>
          <w:rFonts w:hint="eastAsia"/>
          <w:sz w:val="20"/>
          <w:szCs w:val="22"/>
        </w:rPr>
        <w:t xml:space="preserve"> in the same bandwidth with V-UE. In Rel-16, wide bandwidths are supported for </w:t>
      </w:r>
      <w:proofErr w:type="spellStart"/>
      <w:r>
        <w:rPr>
          <w:rFonts w:hint="eastAsia"/>
          <w:sz w:val="20"/>
          <w:szCs w:val="22"/>
        </w:rPr>
        <w:t>sidelink</w:t>
      </w:r>
      <w:proofErr w:type="spellEnd"/>
      <w:r>
        <w:rPr>
          <w:rFonts w:hint="eastAsia"/>
          <w:sz w:val="20"/>
          <w:szCs w:val="22"/>
        </w:rPr>
        <w:t xml:space="preserve">. V-UE can </w:t>
      </w:r>
      <w:r>
        <w:rPr>
          <w:sz w:val="20"/>
          <w:lang w:eastAsia="ko-KR"/>
        </w:rPr>
        <w:t xml:space="preserve">operate </w:t>
      </w:r>
      <w:proofErr w:type="spellStart"/>
      <w:r>
        <w:rPr>
          <w:sz w:val="20"/>
          <w:lang w:eastAsia="ko-KR"/>
        </w:rPr>
        <w:t>sidelink</w:t>
      </w:r>
      <w:proofErr w:type="spellEnd"/>
      <w:r>
        <w:rPr>
          <w:rFonts w:hint="eastAsia"/>
          <w:sz w:val="20"/>
        </w:rPr>
        <w:t xml:space="preserve"> in a larger bandwidth, e.g., 100 </w:t>
      </w:r>
      <w:proofErr w:type="spellStart"/>
      <w:r>
        <w:rPr>
          <w:rFonts w:hint="eastAsia"/>
          <w:sz w:val="20"/>
        </w:rPr>
        <w:t>MHz.</w:t>
      </w:r>
      <w:proofErr w:type="spellEnd"/>
      <w:r>
        <w:rPr>
          <w:rFonts w:hint="eastAsia"/>
          <w:sz w:val="20"/>
        </w:rPr>
        <w:t xml:space="preserve"> Accordingly, a wide BWP often be configured for V-UE. For P-UE, it is not beneficial to saving power to perform </w:t>
      </w:r>
      <w:proofErr w:type="spellStart"/>
      <w:r>
        <w:rPr>
          <w:rFonts w:hint="eastAsia"/>
          <w:sz w:val="20"/>
        </w:rPr>
        <w:t>sensing</w:t>
      </w:r>
      <w:proofErr w:type="spellEnd"/>
      <w:r>
        <w:rPr>
          <w:rFonts w:hint="eastAsia"/>
          <w:sz w:val="20"/>
        </w:rPr>
        <w:t xml:space="preserve"> or receiving in a wide BWP or bandwidth. So, narrow BWP or bandwidth can be considered for P2V transmission in Rel-17. </w:t>
      </w:r>
    </w:p>
    <w:p w:rsidR="0003031E" w:rsidRDefault="000635A9">
      <w:pPr>
        <w:spacing w:before="120" w:after="120"/>
        <w:rPr>
          <w:sz w:val="20"/>
          <w:szCs w:val="22"/>
        </w:rPr>
      </w:pPr>
      <w:r>
        <w:rPr>
          <w:rFonts w:hint="eastAsia"/>
          <w:sz w:val="20"/>
        </w:rPr>
        <w:t xml:space="preserve">Considering S-SSB detection, it should be noted that the narrow bandwidths for P2V and V2P should cover the bandwidth of S-SSB. This can assure that P-UE can detect S-SSB transmitted from V-UE. </w:t>
      </w:r>
    </w:p>
    <w:p w:rsidR="0003031E" w:rsidRDefault="000635A9">
      <w:pPr>
        <w:pStyle w:val="YJ-Proposal"/>
        <w:spacing w:before="120" w:after="120"/>
        <w:rPr>
          <w:lang w:val="en-US" w:eastAsia="zh-CN"/>
        </w:rPr>
      </w:pPr>
      <w:bookmarkStart w:id="2" w:name="_Toc14439"/>
      <w:r>
        <w:rPr>
          <w:rFonts w:hint="eastAsia"/>
          <w:lang w:val="en-US" w:eastAsia="zh-CN"/>
        </w:rPr>
        <w:t>To reduce power consumption of P-UE, narrow BWP or bandwidth which cover the bandwidth of S-SSB should be considered for P2V and V2P in Rel-17.</w:t>
      </w:r>
      <w:bookmarkEnd w:id="2"/>
    </w:p>
    <w:p w:rsidR="0003031E" w:rsidRDefault="0003031E">
      <w:pPr>
        <w:spacing w:before="120" w:after="120"/>
        <w:rPr>
          <w:sz w:val="20"/>
          <w:szCs w:val="22"/>
        </w:rPr>
      </w:pPr>
    </w:p>
    <w:p w:rsidR="0003031E" w:rsidRDefault="000635A9">
      <w:pPr>
        <w:pStyle w:val="2"/>
        <w:spacing w:before="120" w:after="120" w:line="260" w:lineRule="auto"/>
        <w:ind w:left="0" w:right="210"/>
        <w:rPr>
          <w:szCs w:val="22"/>
        </w:rPr>
      </w:pPr>
      <w:r>
        <w:rPr>
          <w:rFonts w:hint="eastAsia"/>
          <w:szCs w:val="22"/>
        </w:rPr>
        <w:t>Reevaluation and Preemption</w:t>
      </w:r>
    </w:p>
    <w:p w:rsidR="0003031E" w:rsidRDefault="000635A9">
      <w:pPr>
        <w:spacing w:before="120" w:after="120"/>
        <w:rPr>
          <w:sz w:val="20"/>
          <w:szCs w:val="22"/>
        </w:rPr>
      </w:pPr>
      <w:r>
        <w:rPr>
          <w:rFonts w:hint="eastAsia"/>
          <w:sz w:val="20"/>
          <w:szCs w:val="22"/>
        </w:rPr>
        <w:t xml:space="preserve">In Rel-16, reevaluation and preemption are supported for </w:t>
      </w:r>
      <w:proofErr w:type="spellStart"/>
      <w:r>
        <w:rPr>
          <w:rFonts w:hint="eastAsia"/>
          <w:sz w:val="20"/>
          <w:szCs w:val="22"/>
        </w:rPr>
        <w:t>sidelink</w:t>
      </w:r>
      <w:proofErr w:type="spellEnd"/>
      <w:r>
        <w:rPr>
          <w:rFonts w:hint="eastAsia"/>
          <w:sz w:val="20"/>
          <w:szCs w:val="22"/>
        </w:rPr>
        <w:t xml:space="preserve"> communication. According to reevaluation or preemption, UE can identify the reserved resource </w:t>
      </w:r>
      <w:r w:rsidR="00B347B3">
        <w:rPr>
          <w:rFonts w:hint="eastAsia"/>
          <w:sz w:val="20"/>
          <w:szCs w:val="22"/>
        </w:rPr>
        <w:t xml:space="preserve">which is polluted or preempted and </w:t>
      </w:r>
      <w:r>
        <w:rPr>
          <w:rFonts w:hint="eastAsia"/>
          <w:sz w:val="20"/>
          <w:szCs w:val="22"/>
        </w:rPr>
        <w:t xml:space="preserve">can perform resource reselection to improve the reliability of </w:t>
      </w:r>
      <w:proofErr w:type="spellStart"/>
      <w:r>
        <w:rPr>
          <w:rFonts w:hint="eastAsia"/>
          <w:sz w:val="20"/>
          <w:szCs w:val="22"/>
        </w:rPr>
        <w:t>sidelink</w:t>
      </w:r>
      <w:proofErr w:type="spellEnd"/>
      <w:r>
        <w:rPr>
          <w:rFonts w:hint="eastAsia"/>
          <w:sz w:val="20"/>
          <w:szCs w:val="22"/>
        </w:rPr>
        <w:t xml:space="preserve"> communication.</w:t>
      </w:r>
    </w:p>
    <w:p w:rsidR="0003031E" w:rsidRDefault="000635A9">
      <w:pPr>
        <w:spacing w:before="120" w:after="120"/>
        <w:rPr>
          <w:sz w:val="20"/>
          <w:szCs w:val="22"/>
        </w:rPr>
      </w:pPr>
      <w:r>
        <w:rPr>
          <w:rFonts w:hint="eastAsia"/>
          <w:sz w:val="20"/>
          <w:szCs w:val="22"/>
        </w:rPr>
        <w:t xml:space="preserve">In the process of reevaluation and preemption, </w:t>
      </w:r>
      <w:r w:rsidR="001A2437">
        <w:rPr>
          <w:rFonts w:hint="eastAsia"/>
          <w:sz w:val="20"/>
          <w:szCs w:val="22"/>
        </w:rPr>
        <w:t>UE needs to re-perform sensing at the cost of a</w:t>
      </w:r>
      <w:r>
        <w:rPr>
          <w:rFonts w:hint="eastAsia"/>
          <w:sz w:val="20"/>
          <w:szCs w:val="22"/>
        </w:rPr>
        <w:t xml:space="preserve">dditional power consumption. For V-UE which assumes power is always on, it is not a problem. But for P-UE which needs to </w:t>
      </w:r>
      <w:r w:rsidR="007D3CD0" w:rsidRPr="007D3CD0">
        <w:rPr>
          <w:rFonts w:hint="eastAsia"/>
          <w:color w:val="000000" w:themeColor="text1"/>
        </w:rPr>
        <w:t>operate</w:t>
      </w:r>
      <w:r w:rsidR="001A2437" w:rsidRPr="0035697D">
        <w:rPr>
          <w:rFonts w:hint="eastAsia"/>
          <w:color w:val="FF0000"/>
        </w:rPr>
        <w:t xml:space="preserve"> </w:t>
      </w:r>
      <w:r>
        <w:rPr>
          <w:lang w:eastAsia="ko-KR"/>
        </w:rPr>
        <w:t>in a power efficient manner</w:t>
      </w:r>
      <w:r>
        <w:rPr>
          <w:rFonts w:hint="eastAsia"/>
          <w:sz w:val="20"/>
          <w:szCs w:val="22"/>
        </w:rPr>
        <w:t>, it is not advisable to support reevaluation and preemption.</w:t>
      </w:r>
    </w:p>
    <w:p w:rsidR="0003031E" w:rsidRDefault="000635A9">
      <w:pPr>
        <w:pStyle w:val="YJ-Proposal"/>
        <w:spacing w:before="120" w:after="120"/>
        <w:rPr>
          <w:lang w:val="en-US" w:eastAsia="zh-CN"/>
        </w:rPr>
      </w:pPr>
      <w:bookmarkStart w:id="3" w:name="_Toc18710"/>
      <w:r>
        <w:rPr>
          <w:rFonts w:hint="eastAsia"/>
          <w:szCs w:val="22"/>
          <w:lang w:val="en-US" w:eastAsia="zh-CN"/>
        </w:rPr>
        <w:t>Reevaluation and preemption are not supported for P2V</w:t>
      </w:r>
      <w:r w:rsidR="007D3CD0">
        <w:rPr>
          <w:rFonts w:hint="eastAsia"/>
          <w:szCs w:val="22"/>
          <w:lang w:val="en-US" w:eastAsia="zh-CN"/>
        </w:rPr>
        <w:t xml:space="preserve"> </w:t>
      </w:r>
      <w:r>
        <w:rPr>
          <w:rFonts w:hint="eastAsia"/>
          <w:szCs w:val="22"/>
          <w:lang w:val="en-US" w:eastAsia="zh-CN"/>
        </w:rPr>
        <w:t>transmission.</w:t>
      </w:r>
      <w:bookmarkEnd w:id="3"/>
    </w:p>
    <w:p w:rsidR="0003031E" w:rsidRDefault="0003031E">
      <w:pPr>
        <w:tabs>
          <w:tab w:val="left" w:pos="420"/>
        </w:tabs>
        <w:spacing w:before="120" w:after="120" w:line="240" w:lineRule="auto"/>
        <w:rPr>
          <w:sz w:val="20"/>
          <w:szCs w:val="22"/>
        </w:rPr>
      </w:pPr>
    </w:p>
    <w:p w:rsidR="0003031E" w:rsidRDefault="000635A9">
      <w:pPr>
        <w:pStyle w:val="1"/>
        <w:spacing w:before="120" w:after="120"/>
        <w:ind w:left="0"/>
        <w:rPr>
          <w:rFonts w:eastAsia="宋体"/>
        </w:rPr>
      </w:pPr>
      <w:r>
        <w:rPr>
          <w:rFonts w:eastAsia="宋体" w:hint="eastAsia"/>
        </w:rPr>
        <w:t>Conclusion</w:t>
      </w:r>
    </w:p>
    <w:p w:rsidR="0003031E" w:rsidRDefault="000635A9">
      <w:pPr>
        <w:tabs>
          <w:tab w:val="left" w:pos="420"/>
        </w:tabs>
        <w:spacing w:before="120" w:after="120" w:line="240" w:lineRule="auto"/>
        <w:rPr>
          <w:sz w:val="20"/>
        </w:rPr>
      </w:pPr>
      <w:r>
        <w:rPr>
          <w:sz w:val="20"/>
        </w:rPr>
        <w:t>This contribution concludes with the following</w:t>
      </w:r>
      <w:r>
        <w:rPr>
          <w:rFonts w:hint="eastAsia"/>
          <w:sz w:val="20"/>
        </w:rPr>
        <w:t xml:space="preserve"> </w:t>
      </w:r>
      <w:r>
        <w:rPr>
          <w:sz w:val="20"/>
        </w:rPr>
        <w:t>proposal</w:t>
      </w:r>
      <w:r>
        <w:rPr>
          <w:rFonts w:hint="eastAsia"/>
          <w:sz w:val="20"/>
        </w:rPr>
        <w:t>s</w:t>
      </w:r>
      <w:r>
        <w:rPr>
          <w:sz w:val="20"/>
        </w:rPr>
        <w:t>:</w:t>
      </w:r>
    </w:p>
    <w:p w:rsidR="0003031E" w:rsidRDefault="00CF6EFE" w:rsidP="007D3CD0">
      <w:pPr>
        <w:pStyle w:val="10"/>
        <w:tabs>
          <w:tab w:val="right" w:leader="dot" w:pos="9660"/>
        </w:tabs>
        <w:spacing w:before="120" w:after="120"/>
      </w:pPr>
      <w:r w:rsidRPr="00CF6EFE">
        <w:fldChar w:fldCharType="begin"/>
      </w:r>
      <w:r w:rsidR="000635A9">
        <w:instrText>TOC \n  \t "YJ-Proposal,1" \h</w:instrText>
      </w:r>
      <w:r w:rsidRPr="00CF6EFE">
        <w:fldChar w:fldCharType="separate"/>
      </w:r>
      <w:hyperlink w:anchor="_Toc25878" w:history="1">
        <w:r w:rsidR="000635A9">
          <w:rPr>
            <w:rFonts w:eastAsia="宋体"/>
            <w:bCs/>
            <w:iCs/>
          </w:rPr>
          <w:t xml:space="preserve">Proposal 1: </w:t>
        </w:r>
        <w:r w:rsidR="000635A9">
          <w:rPr>
            <w:rFonts w:hint="eastAsia"/>
            <w:szCs w:val="22"/>
          </w:rPr>
          <w:t>Random resource selection and partial sensing in LTE V2X are reused for P-UE in Rel-17.</w:t>
        </w:r>
      </w:hyperlink>
    </w:p>
    <w:p w:rsidR="0003031E" w:rsidRDefault="00CF6EFE" w:rsidP="007D3CD0">
      <w:pPr>
        <w:pStyle w:val="10"/>
        <w:tabs>
          <w:tab w:val="right" w:leader="dot" w:pos="9660"/>
        </w:tabs>
        <w:spacing w:before="120" w:after="120"/>
      </w:pPr>
      <w:hyperlink w:anchor="_Toc22986" w:history="1">
        <w:r w:rsidR="000635A9">
          <w:rPr>
            <w:rFonts w:eastAsia="宋体"/>
            <w:bCs/>
            <w:iCs/>
          </w:rPr>
          <w:t xml:space="preserve">Proposal 2: </w:t>
        </w:r>
        <w:r w:rsidR="000635A9">
          <w:rPr>
            <w:rFonts w:hint="eastAsia"/>
          </w:rPr>
          <w:t>Support reception of sidelink communication for P-UE in Rel-17.</w:t>
        </w:r>
      </w:hyperlink>
    </w:p>
    <w:p w:rsidR="0003031E" w:rsidRDefault="00CF6EFE" w:rsidP="007D3CD0">
      <w:pPr>
        <w:pStyle w:val="10"/>
        <w:tabs>
          <w:tab w:val="right" w:leader="dot" w:pos="9660"/>
        </w:tabs>
        <w:spacing w:before="120" w:after="120"/>
      </w:pPr>
      <w:hyperlink w:anchor="_Toc14439" w:history="1">
        <w:r w:rsidR="000635A9">
          <w:rPr>
            <w:rFonts w:eastAsia="宋体"/>
            <w:bCs/>
            <w:iCs/>
          </w:rPr>
          <w:t xml:space="preserve">Proposal 3: </w:t>
        </w:r>
        <w:r w:rsidR="000635A9">
          <w:rPr>
            <w:rFonts w:hint="eastAsia"/>
          </w:rPr>
          <w:t>To reduce power consumption of P-UE, narrow BWP or bandwidth which cover the bandwidth of S-SSB should be considered for P2V and V2P in Rel-17.</w:t>
        </w:r>
      </w:hyperlink>
      <w:bookmarkStart w:id="4" w:name="_GoBack"/>
      <w:bookmarkEnd w:id="4"/>
    </w:p>
    <w:p w:rsidR="0003031E" w:rsidRDefault="00CF6EFE" w:rsidP="007D3CD0">
      <w:pPr>
        <w:pStyle w:val="10"/>
        <w:tabs>
          <w:tab w:val="right" w:leader="dot" w:pos="9660"/>
        </w:tabs>
        <w:spacing w:before="120" w:after="120"/>
      </w:pPr>
      <w:hyperlink w:anchor="_Toc18710" w:history="1">
        <w:r w:rsidR="000635A9">
          <w:rPr>
            <w:rFonts w:eastAsia="宋体"/>
            <w:bCs/>
            <w:iCs/>
          </w:rPr>
          <w:t xml:space="preserve">Proposal 4: </w:t>
        </w:r>
        <w:r w:rsidR="000635A9">
          <w:rPr>
            <w:rFonts w:hint="eastAsia"/>
            <w:szCs w:val="22"/>
          </w:rPr>
          <w:t>Reevaluation and preemption are not supported for P2V</w:t>
        </w:r>
        <w:r w:rsidR="0013351F">
          <w:rPr>
            <w:rFonts w:hint="eastAsia"/>
            <w:szCs w:val="22"/>
          </w:rPr>
          <w:t xml:space="preserve"> </w:t>
        </w:r>
        <w:r w:rsidR="000635A9">
          <w:rPr>
            <w:rFonts w:hint="eastAsia"/>
            <w:szCs w:val="22"/>
          </w:rPr>
          <w:t>transmission.</w:t>
        </w:r>
      </w:hyperlink>
    </w:p>
    <w:p w:rsidR="0003031E" w:rsidRDefault="00CF6EFE">
      <w:pPr>
        <w:tabs>
          <w:tab w:val="left" w:pos="420"/>
        </w:tabs>
        <w:spacing w:before="120" w:after="120" w:line="240" w:lineRule="auto"/>
        <w:rPr>
          <w:sz w:val="20"/>
        </w:rPr>
      </w:pPr>
      <w:r>
        <w:fldChar w:fldCharType="end"/>
      </w:r>
    </w:p>
    <w:p w:rsidR="0003031E" w:rsidRDefault="000635A9">
      <w:pPr>
        <w:pStyle w:val="1"/>
        <w:spacing w:before="120" w:after="120"/>
        <w:ind w:left="0"/>
        <w:rPr>
          <w:rFonts w:eastAsia="宋体"/>
        </w:rPr>
      </w:pPr>
      <w:r>
        <w:rPr>
          <w:rFonts w:eastAsia="宋体" w:hint="eastAsia"/>
        </w:rPr>
        <w:t>Reference</w:t>
      </w:r>
      <w:r>
        <w:rPr>
          <w:rFonts w:eastAsia="宋体"/>
        </w:rPr>
        <w:t>s</w:t>
      </w:r>
    </w:p>
    <w:p w:rsidR="0003031E" w:rsidRDefault="000635A9">
      <w:pPr>
        <w:pStyle w:val="References"/>
        <w:spacing w:before="120" w:after="120"/>
        <w:rPr>
          <w:rFonts w:ascii="Arial" w:hAnsi="Arial" w:cs="Arial"/>
          <w:bCs/>
          <w:sz w:val="20"/>
          <w:szCs w:val="20"/>
        </w:rPr>
      </w:pPr>
      <w:bookmarkStart w:id="5" w:name="_Ref17466"/>
      <w:r>
        <w:rPr>
          <w:rFonts w:hint="eastAsia"/>
          <w:sz w:val="20"/>
          <w:szCs w:val="22"/>
        </w:rPr>
        <w:t xml:space="preserve">RP-201385, WID revision: NR </w:t>
      </w:r>
      <w:proofErr w:type="spellStart"/>
      <w:r>
        <w:rPr>
          <w:rFonts w:hint="eastAsia"/>
          <w:sz w:val="20"/>
          <w:szCs w:val="22"/>
        </w:rPr>
        <w:t>sidelink</w:t>
      </w:r>
      <w:proofErr w:type="spellEnd"/>
      <w:r>
        <w:rPr>
          <w:rFonts w:hint="eastAsia"/>
          <w:sz w:val="20"/>
          <w:szCs w:val="22"/>
        </w:rPr>
        <w:t xml:space="preserve"> enhancement, 3GPP TSG RAN Meeting #88e, Electronic Meeting, June 29 - July 3, 2020.</w:t>
      </w:r>
      <w:bookmarkEnd w:id="5"/>
    </w:p>
    <w:p w:rsidR="0003031E" w:rsidRDefault="0003031E" w:rsidP="0035697D">
      <w:pPr>
        <w:pStyle w:val="References"/>
        <w:numPr>
          <w:ilvl w:val="0"/>
          <w:numId w:val="0"/>
        </w:numPr>
        <w:spacing w:before="120" w:after="120"/>
        <w:ind w:left="360"/>
        <w:rPr>
          <w:sz w:val="20"/>
          <w:szCs w:val="22"/>
        </w:rPr>
      </w:pPr>
    </w:p>
    <w:sectPr w:rsidR="0003031E" w:rsidSect="0003031E">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631387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FF1" w:rsidRDefault="00824FF1" w:rsidP="007D3CD0">
      <w:pPr>
        <w:spacing w:before="120" w:after="120" w:line="240" w:lineRule="auto"/>
      </w:pPr>
      <w:r>
        <w:separator/>
      </w:r>
    </w:p>
  </w:endnote>
  <w:endnote w:type="continuationSeparator" w:id="0">
    <w:p w:rsidR="00824FF1" w:rsidRDefault="00824FF1" w:rsidP="007D3CD0">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宋体"/>
    <w:charset w:val="86"/>
    <w:family w:val="swiss"/>
    <w:pitch w:val="default"/>
    <w:sig w:usb0="00000000" w:usb1="0000000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31E" w:rsidRDefault="0003031E">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03031E" w:rsidRDefault="00CF6EFE">
        <w:pPr>
          <w:pStyle w:val="a7"/>
          <w:spacing w:before="120" w:after="120"/>
          <w:jc w:val="center"/>
        </w:pPr>
        <w:r>
          <w:fldChar w:fldCharType="begin"/>
        </w:r>
        <w:r w:rsidR="000635A9">
          <w:instrText xml:space="preserve"> PAGE   \* MERGEFORMAT </w:instrText>
        </w:r>
        <w:r>
          <w:fldChar w:fldCharType="separate"/>
        </w:r>
        <w:r w:rsidR="0013351F">
          <w:rPr>
            <w:noProof/>
          </w:rPr>
          <w:t>2</w:t>
        </w:r>
        <w:r>
          <w:fldChar w:fldCharType="end"/>
        </w:r>
      </w:p>
    </w:sdtContent>
  </w:sdt>
  <w:p w:rsidR="0003031E" w:rsidRDefault="0003031E">
    <w:pPr>
      <w:pStyle w:val="a7"/>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31E" w:rsidRDefault="0003031E">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FF1" w:rsidRDefault="00824FF1" w:rsidP="007D3CD0">
      <w:pPr>
        <w:spacing w:before="120" w:after="120" w:line="240" w:lineRule="auto"/>
      </w:pPr>
      <w:r>
        <w:separator/>
      </w:r>
    </w:p>
  </w:footnote>
  <w:footnote w:type="continuationSeparator" w:id="0">
    <w:p w:rsidR="00824FF1" w:rsidRDefault="00824FF1" w:rsidP="007D3CD0">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31E" w:rsidRDefault="0003031E">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31E" w:rsidRDefault="0003031E">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31E" w:rsidRDefault="0003031E">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3">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zhouHu">
    <w15:presenceInfo w15:providerId="None" w15:userId="YuzhouH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060B"/>
    <w:rsid w:val="0003031E"/>
    <w:rsid w:val="000635A9"/>
    <w:rsid w:val="00064696"/>
    <w:rsid w:val="00090806"/>
    <w:rsid w:val="00090F06"/>
    <w:rsid w:val="000B136A"/>
    <w:rsid w:val="000C5AC6"/>
    <w:rsid w:val="000D0B58"/>
    <w:rsid w:val="00107394"/>
    <w:rsid w:val="001126B1"/>
    <w:rsid w:val="00131323"/>
    <w:rsid w:val="0013351F"/>
    <w:rsid w:val="00172A27"/>
    <w:rsid w:val="001A2437"/>
    <w:rsid w:val="001E2AF0"/>
    <w:rsid w:val="002046E1"/>
    <w:rsid w:val="002804DA"/>
    <w:rsid w:val="002B1235"/>
    <w:rsid w:val="002F111A"/>
    <w:rsid w:val="003040CB"/>
    <w:rsid w:val="00324423"/>
    <w:rsid w:val="0035697D"/>
    <w:rsid w:val="00361091"/>
    <w:rsid w:val="00376428"/>
    <w:rsid w:val="003A5F3F"/>
    <w:rsid w:val="003F2E37"/>
    <w:rsid w:val="003F6737"/>
    <w:rsid w:val="0044683C"/>
    <w:rsid w:val="00461075"/>
    <w:rsid w:val="00484948"/>
    <w:rsid w:val="004C0FB5"/>
    <w:rsid w:val="004E6C2C"/>
    <w:rsid w:val="00502BDC"/>
    <w:rsid w:val="00534AAA"/>
    <w:rsid w:val="0058043F"/>
    <w:rsid w:val="005B065E"/>
    <w:rsid w:val="00617398"/>
    <w:rsid w:val="00693244"/>
    <w:rsid w:val="006A0326"/>
    <w:rsid w:val="006B1693"/>
    <w:rsid w:val="006E33D4"/>
    <w:rsid w:val="006E5395"/>
    <w:rsid w:val="00724BF3"/>
    <w:rsid w:val="00724CB4"/>
    <w:rsid w:val="00750154"/>
    <w:rsid w:val="007D0FE8"/>
    <w:rsid w:val="007D3CD0"/>
    <w:rsid w:val="008052E8"/>
    <w:rsid w:val="00824FF1"/>
    <w:rsid w:val="0088291C"/>
    <w:rsid w:val="00892B4D"/>
    <w:rsid w:val="008A4814"/>
    <w:rsid w:val="008A657C"/>
    <w:rsid w:val="008F1090"/>
    <w:rsid w:val="00905AB7"/>
    <w:rsid w:val="009307D3"/>
    <w:rsid w:val="00951001"/>
    <w:rsid w:val="0096044C"/>
    <w:rsid w:val="00A11F6C"/>
    <w:rsid w:val="00A37264"/>
    <w:rsid w:val="00A37C0A"/>
    <w:rsid w:val="00A43275"/>
    <w:rsid w:val="00A43FD0"/>
    <w:rsid w:val="00A60FB4"/>
    <w:rsid w:val="00A675C8"/>
    <w:rsid w:val="00A771B5"/>
    <w:rsid w:val="00AA67A4"/>
    <w:rsid w:val="00AE0DD1"/>
    <w:rsid w:val="00B347B3"/>
    <w:rsid w:val="00B72D86"/>
    <w:rsid w:val="00B844A6"/>
    <w:rsid w:val="00B9151A"/>
    <w:rsid w:val="00BA61AE"/>
    <w:rsid w:val="00BA760E"/>
    <w:rsid w:val="00C06613"/>
    <w:rsid w:val="00C0766C"/>
    <w:rsid w:val="00C12B2D"/>
    <w:rsid w:val="00C24898"/>
    <w:rsid w:val="00C31AC2"/>
    <w:rsid w:val="00C76D2D"/>
    <w:rsid w:val="00CA6D19"/>
    <w:rsid w:val="00CF6EFE"/>
    <w:rsid w:val="00CF71E4"/>
    <w:rsid w:val="00D92C30"/>
    <w:rsid w:val="00D967C2"/>
    <w:rsid w:val="00DB3CBC"/>
    <w:rsid w:val="00DE40C8"/>
    <w:rsid w:val="00E3426B"/>
    <w:rsid w:val="00E90250"/>
    <w:rsid w:val="00EA0D7F"/>
    <w:rsid w:val="00ED5E54"/>
    <w:rsid w:val="00FB798E"/>
    <w:rsid w:val="010815F7"/>
    <w:rsid w:val="0136391B"/>
    <w:rsid w:val="015C6038"/>
    <w:rsid w:val="01764F01"/>
    <w:rsid w:val="01B37B77"/>
    <w:rsid w:val="024D6B6A"/>
    <w:rsid w:val="025F6F73"/>
    <w:rsid w:val="029B04E7"/>
    <w:rsid w:val="02C33A5D"/>
    <w:rsid w:val="02D31073"/>
    <w:rsid w:val="02E52B54"/>
    <w:rsid w:val="03073BDC"/>
    <w:rsid w:val="03337158"/>
    <w:rsid w:val="033415AD"/>
    <w:rsid w:val="035119DB"/>
    <w:rsid w:val="03A571FD"/>
    <w:rsid w:val="03D8045E"/>
    <w:rsid w:val="0426573F"/>
    <w:rsid w:val="05436F94"/>
    <w:rsid w:val="0555228E"/>
    <w:rsid w:val="05CB01BD"/>
    <w:rsid w:val="05E078B3"/>
    <w:rsid w:val="05EF7864"/>
    <w:rsid w:val="0626633F"/>
    <w:rsid w:val="07612CE5"/>
    <w:rsid w:val="07782CC3"/>
    <w:rsid w:val="077D0583"/>
    <w:rsid w:val="07CD7FFF"/>
    <w:rsid w:val="08010EE0"/>
    <w:rsid w:val="082A352F"/>
    <w:rsid w:val="08891EDC"/>
    <w:rsid w:val="08D82235"/>
    <w:rsid w:val="0920787B"/>
    <w:rsid w:val="09B70218"/>
    <w:rsid w:val="09F67CD5"/>
    <w:rsid w:val="0A074246"/>
    <w:rsid w:val="0A32643C"/>
    <w:rsid w:val="0AC310AE"/>
    <w:rsid w:val="0AF53788"/>
    <w:rsid w:val="0AFD671A"/>
    <w:rsid w:val="0B0565CA"/>
    <w:rsid w:val="0B5A12D7"/>
    <w:rsid w:val="0B9E71DF"/>
    <w:rsid w:val="0C080A80"/>
    <w:rsid w:val="0C0A15BD"/>
    <w:rsid w:val="0C2327C2"/>
    <w:rsid w:val="0C8430EB"/>
    <w:rsid w:val="0D0B641D"/>
    <w:rsid w:val="0D3E3903"/>
    <w:rsid w:val="0D692AE3"/>
    <w:rsid w:val="0D831114"/>
    <w:rsid w:val="0E3D059D"/>
    <w:rsid w:val="0E665AE6"/>
    <w:rsid w:val="0F476C8A"/>
    <w:rsid w:val="0F5D04D8"/>
    <w:rsid w:val="0FE40E07"/>
    <w:rsid w:val="100A1D1A"/>
    <w:rsid w:val="10A50104"/>
    <w:rsid w:val="10C12078"/>
    <w:rsid w:val="10DE08C5"/>
    <w:rsid w:val="119D7849"/>
    <w:rsid w:val="12114809"/>
    <w:rsid w:val="124A4EC4"/>
    <w:rsid w:val="12A47B4E"/>
    <w:rsid w:val="12FA6450"/>
    <w:rsid w:val="1354541C"/>
    <w:rsid w:val="13CA595A"/>
    <w:rsid w:val="13CC3BA1"/>
    <w:rsid w:val="14B21339"/>
    <w:rsid w:val="14DA3DA1"/>
    <w:rsid w:val="14E20458"/>
    <w:rsid w:val="154D7E15"/>
    <w:rsid w:val="15C30A81"/>
    <w:rsid w:val="15C3343B"/>
    <w:rsid w:val="160C36EF"/>
    <w:rsid w:val="16894F77"/>
    <w:rsid w:val="16D04C14"/>
    <w:rsid w:val="17155857"/>
    <w:rsid w:val="177D44CE"/>
    <w:rsid w:val="177F599E"/>
    <w:rsid w:val="1790184A"/>
    <w:rsid w:val="17BC31C0"/>
    <w:rsid w:val="180F06FB"/>
    <w:rsid w:val="184934F7"/>
    <w:rsid w:val="187E21BC"/>
    <w:rsid w:val="18FB16B0"/>
    <w:rsid w:val="19010C43"/>
    <w:rsid w:val="19084C73"/>
    <w:rsid w:val="19363361"/>
    <w:rsid w:val="193C5FF4"/>
    <w:rsid w:val="19607427"/>
    <w:rsid w:val="19653003"/>
    <w:rsid w:val="1A044025"/>
    <w:rsid w:val="1A054259"/>
    <w:rsid w:val="1B1B20F3"/>
    <w:rsid w:val="1B70220F"/>
    <w:rsid w:val="1B7F6005"/>
    <w:rsid w:val="1BAB2ECE"/>
    <w:rsid w:val="1C132CB9"/>
    <w:rsid w:val="1C7A0D82"/>
    <w:rsid w:val="1CCC26CA"/>
    <w:rsid w:val="1CE60535"/>
    <w:rsid w:val="1DE1589E"/>
    <w:rsid w:val="1E68580A"/>
    <w:rsid w:val="1E7749FE"/>
    <w:rsid w:val="1E804E6F"/>
    <w:rsid w:val="1E9D6342"/>
    <w:rsid w:val="1F04781B"/>
    <w:rsid w:val="1F56727C"/>
    <w:rsid w:val="1F922F6A"/>
    <w:rsid w:val="1F986125"/>
    <w:rsid w:val="20067279"/>
    <w:rsid w:val="2011087F"/>
    <w:rsid w:val="20314BD3"/>
    <w:rsid w:val="204E6676"/>
    <w:rsid w:val="20703C98"/>
    <w:rsid w:val="20D5379F"/>
    <w:rsid w:val="20E1109F"/>
    <w:rsid w:val="216A7EE4"/>
    <w:rsid w:val="2195668B"/>
    <w:rsid w:val="219A26CD"/>
    <w:rsid w:val="22AC32FF"/>
    <w:rsid w:val="233732F5"/>
    <w:rsid w:val="242E6DF2"/>
    <w:rsid w:val="245C52F8"/>
    <w:rsid w:val="2463385E"/>
    <w:rsid w:val="24E11799"/>
    <w:rsid w:val="25134332"/>
    <w:rsid w:val="256277D4"/>
    <w:rsid w:val="257E508F"/>
    <w:rsid w:val="258E69E5"/>
    <w:rsid w:val="26401730"/>
    <w:rsid w:val="265A7989"/>
    <w:rsid w:val="26872FC8"/>
    <w:rsid w:val="26F85F4E"/>
    <w:rsid w:val="27695916"/>
    <w:rsid w:val="277B6D77"/>
    <w:rsid w:val="27AB7429"/>
    <w:rsid w:val="27B27745"/>
    <w:rsid w:val="288C17EC"/>
    <w:rsid w:val="28BC2BF0"/>
    <w:rsid w:val="29014FF1"/>
    <w:rsid w:val="291D53D8"/>
    <w:rsid w:val="29386F00"/>
    <w:rsid w:val="29ED118B"/>
    <w:rsid w:val="29FA7F26"/>
    <w:rsid w:val="2A0840C1"/>
    <w:rsid w:val="2A2E5140"/>
    <w:rsid w:val="2A782D5E"/>
    <w:rsid w:val="2A9D178A"/>
    <w:rsid w:val="2AA363A7"/>
    <w:rsid w:val="2AE75BAD"/>
    <w:rsid w:val="2B8B30BF"/>
    <w:rsid w:val="2BAE1A53"/>
    <w:rsid w:val="2BD2348F"/>
    <w:rsid w:val="2BDE6F9E"/>
    <w:rsid w:val="2BED5BE5"/>
    <w:rsid w:val="2C4E6C6C"/>
    <w:rsid w:val="2CAE2E43"/>
    <w:rsid w:val="2CC8136A"/>
    <w:rsid w:val="2CCF4BA0"/>
    <w:rsid w:val="2E1675EA"/>
    <w:rsid w:val="2EAF25DE"/>
    <w:rsid w:val="2F1251F2"/>
    <w:rsid w:val="2F2909FC"/>
    <w:rsid w:val="2F342AE4"/>
    <w:rsid w:val="2FC34B4E"/>
    <w:rsid w:val="2FE24C5E"/>
    <w:rsid w:val="2FED2F7D"/>
    <w:rsid w:val="308871CD"/>
    <w:rsid w:val="30962F3E"/>
    <w:rsid w:val="30C21DAF"/>
    <w:rsid w:val="30C63409"/>
    <w:rsid w:val="30CC33EE"/>
    <w:rsid w:val="30D17E68"/>
    <w:rsid w:val="30FF2795"/>
    <w:rsid w:val="316C44F9"/>
    <w:rsid w:val="31D2689F"/>
    <w:rsid w:val="31DA51BD"/>
    <w:rsid w:val="32061B07"/>
    <w:rsid w:val="32342292"/>
    <w:rsid w:val="32885BAE"/>
    <w:rsid w:val="329A6ACE"/>
    <w:rsid w:val="32EC346F"/>
    <w:rsid w:val="33041556"/>
    <w:rsid w:val="333A1523"/>
    <w:rsid w:val="33AA747D"/>
    <w:rsid w:val="33E71E06"/>
    <w:rsid w:val="345D6E8A"/>
    <w:rsid w:val="34786606"/>
    <w:rsid w:val="34C520CE"/>
    <w:rsid w:val="34D04BBA"/>
    <w:rsid w:val="34E52C26"/>
    <w:rsid w:val="35A9068B"/>
    <w:rsid w:val="360B1D73"/>
    <w:rsid w:val="36182203"/>
    <w:rsid w:val="361F3323"/>
    <w:rsid w:val="36E93760"/>
    <w:rsid w:val="370E36AE"/>
    <w:rsid w:val="371F1267"/>
    <w:rsid w:val="37444568"/>
    <w:rsid w:val="3784394E"/>
    <w:rsid w:val="37F74D19"/>
    <w:rsid w:val="3841578A"/>
    <w:rsid w:val="38A97269"/>
    <w:rsid w:val="38AE3BB0"/>
    <w:rsid w:val="38D44F5D"/>
    <w:rsid w:val="3933336C"/>
    <w:rsid w:val="39410D8B"/>
    <w:rsid w:val="397B569D"/>
    <w:rsid w:val="39A72AEC"/>
    <w:rsid w:val="39CE69AE"/>
    <w:rsid w:val="39E9024E"/>
    <w:rsid w:val="39F7167A"/>
    <w:rsid w:val="3A3425C1"/>
    <w:rsid w:val="3A657DA2"/>
    <w:rsid w:val="3AC4552B"/>
    <w:rsid w:val="3ACA5EE5"/>
    <w:rsid w:val="3ACB5746"/>
    <w:rsid w:val="3B03669D"/>
    <w:rsid w:val="3B10060D"/>
    <w:rsid w:val="3B257BBC"/>
    <w:rsid w:val="3B2B7E19"/>
    <w:rsid w:val="3BB20883"/>
    <w:rsid w:val="3C4835E1"/>
    <w:rsid w:val="3CFA6018"/>
    <w:rsid w:val="3D0C05A1"/>
    <w:rsid w:val="3D8D0A54"/>
    <w:rsid w:val="3DCE1312"/>
    <w:rsid w:val="3E1A1175"/>
    <w:rsid w:val="3E1C0F14"/>
    <w:rsid w:val="3E2B1EA2"/>
    <w:rsid w:val="3E441C7D"/>
    <w:rsid w:val="3EAA7601"/>
    <w:rsid w:val="3EB12AB3"/>
    <w:rsid w:val="3EC74B00"/>
    <w:rsid w:val="3F093324"/>
    <w:rsid w:val="3FC956FF"/>
    <w:rsid w:val="3FCA461C"/>
    <w:rsid w:val="404402D4"/>
    <w:rsid w:val="40A36A71"/>
    <w:rsid w:val="410975DE"/>
    <w:rsid w:val="411735FE"/>
    <w:rsid w:val="411E3D0D"/>
    <w:rsid w:val="416C36BE"/>
    <w:rsid w:val="417453A6"/>
    <w:rsid w:val="418803D5"/>
    <w:rsid w:val="41F466FD"/>
    <w:rsid w:val="422A1A00"/>
    <w:rsid w:val="42526F73"/>
    <w:rsid w:val="42A67A24"/>
    <w:rsid w:val="43146828"/>
    <w:rsid w:val="43A8708C"/>
    <w:rsid w:val="440D5045"/>
    <w:rsid w:val="4428347A"/>
    <w:rsid w:val="446D1058"/>
    <w:rsid w:val="44794C68"/>
    <w:rsid w:val="44C00D19"/>
    <w:rsid w:val="44E955E2"/>
    <w:rsid w:val="4550698C"/>
    <w:rsid w:val="457C35C1"/>
    <w:rsid w:val="459A37A5"/>
    <w:rsid w:val="45B76AAA"/>
    <w:rsid w:val="45BE6191"/>
    <w:rsid w:val="46090FAA"/>
    <w:rsid w:val="460C5979"/>
    <w:rsid w:val="46365D49"/>
    <w:rsid w:val="46917782"/>
    <w:rsid w:val="46D31791"/>
    <w:rsid w:val="471A7159"/>
    <w:rsid w:val="47C01792"/>
    <w:rsid w:val="4808150F"/>
    <w:rsid w:val="4834304B"/>
    <w:rsid w:val="484059CE"/>
    <w:rsid w:val="48733BEB"/>
    <w:rsid w:val="48BA1529"/>
    <w:rsid w:val="49D34C08"/>
    <w:rsid w:val="4A3224FB"/>
    <w:rsid w:val="4A5653D9"/>
    <w:rsid w:val="4AAD35CE"/>
    <w:rsid w:val="4AC31003"/>
    <w:rsid w:val="4AE93159"/>
    <w:rsid w:val="4B6031AA"/>
    <w:rsid w:val="4B792DA0"/>
    <w:rsid w:val="4BD0339A"/>
    <w:rsid w:val="4BE219AB"/>
    <w:rsid w:val="4BEC586D"/>
    <w:rsid w:val="4C080729"/>
    <w:rsid w:val="4C5441D8"/>
    <w:rsid w:val="4C754C55"/>
    <w:rsid w:val="4CA22D8F"/>
    <w:rsid w:val="4CF35830"/>
    <w:rsid w:val="4D0E017F"/>
    <w:rsid w:val="4D462159"/>
    <w:rsid w:val="4D701C0A"/>
    <w:rsid w:val="4D766A6D"/>
    <w:rsid w:val="4DB20406"/>
    <w:rsid w:val="4DBC7264"/>
    <w:rsid w:val="4DC605B6"/>
    <w:rsid w:val="4DC81D5C"/>
    <w:rsid w:val="4DE96F16"/>
    <w:rsid w:val="4DEC0985"/>
    <w:rsid w:val="4E27683A"/>
    <w:rsid w:val="4E654861"/>
    <w:rsid w:val="4E787E01"/>
    <w:rsid w:val="4ED705ED"/>
    <w:rsid w:val="4F2765B1"/>
    <w:rsid w:val="4F285975"/>
    <w:rsid w:val="4F2A4DAA"/>
    <w:rsid w:val="4F930B48"/>
    <w:rsid w:val="4F987EA8"/>
    <w:rsid w:val="50093607"/>
    <w:rsid w:val="508B01F1"/>
    <w:rsid w:val="511B6D36"/>
    <w:rsid w:val="51867298"/>
    <w:rsid w:val="51AC662B"/>
    <w:rsid w:val="52283CC2"/>
    <w:rsid w:val="52BA79AE"/>
    <w:rsid w:val="52D73E62"/>
    <w:rsid w:val="52E04D27"/>
    <w:rsid w:val="53397E13"/>
    <w:rsid w:val="53B30943"/>
    <w:rsid w:val="53DB3477"/>
    <w:rsid w:val="547A60B6"/>
    <w:rsid w:val="55396B97"/>
    <w:rsid w:val="55540163"/>
    <w:rsid w:val="55DD6F2A"/>
    <w:rsid w:val="560C0FE1"/>
    <w:rsid w:val="56CC5358"/>
    <w:rsid w:val="5725306E"/>
    <w:rsid w:val="575042B0"/>
    <w:rsid w:val="575223F6"/>
    <w:rsid w:val="578F220A"/>
    <w:rsid w:val="57AE16CE"/>
    <w:rsid w:val="57FC07D9"/>
    <w:rsid w:val="584F0A6E"/>
    <w:rsid w:val="58500F22"/>
    <w:rsid w:val="58C03E9F"/>
    <w:rsid w:val="5911631B"/>
    <w:rsid w:val="59707ED6"/>
    <w:rsid w:val="59740238"/>
    <w:rsid w:val="59974E1C"/>
    <w:rsid w:val="59AC2530"/>
    <w:rsid w:val="59B341A4"/>
    <w:rsid w:val="59D91835"/>
    <w:rsid w:val="5A672422"/>
    <w:rsid w:val="5AC02657"/>
    <w:rsid w:val="5ACB19B6"/>
    <w:rsid w:val="5ACF0F3A"/>
    <w:rsid w:val="5B2D58B9"/>
    <w:rsid w:val="5BAB38E6"/>
    <w:rsid w:val="5BCC36B1"/>
    <w:rsid w:val="5BEC1F3E"/>
    <w:rsid w:val="5C6B1600"/>
    <w:rsid w:val="5CBF74DB"/>
    <w:rsid w:val="5D3E6C78"/>
    <w:rsid w:val="5D5313C9"/>
    <w:rsid w:val="5D572C1B"/>
    <w:rsid w:val="5D972B60"/>
    <w:rsid w:val="5D9D7CEE"/>
    <w:rsid w:val="5DFD51DB"/>
    <w:rsid w:val="5E0D36E5"/>
    <w:rsid w:val="5E403B42"/>
    <w:rsid w:val="5E7008C7"/>
    <w:rsid w:val="5E8A0947"/>
    <w:rsid w:val="5E8E36A2"/>
    <w:rsid w:val="5E950C48"/>
    <w:rsid w:val="5EBE625C"/>
    <w:rsid w:val="5EC75D72"/>
    <w:rsid w:val="5ED4683B"/>
    <w:rsid w:val="5F1550C3"/>
    <w:rsid w:val="5F2A30E7"/>
    <w:rsid w:val="5FB96064"/>
    <w:rsid w:val="5FC82DDC"/>
    <w:rsid w:val="607C3753"/>
    <w:rsid w:val="60846D02"/>
    <w:rsid w:val="60C30855"/>
    <w:rsid w:val="6102508A"/>
    <w:rsid w:val="61264BF9"/>
    <w:rsid w:val="61421EFD"/>
    <w:rsid w:val="615C5041"/>
    <w:rsid w:val="61DD7C0C"/>
    <w:rsid w:val="61E9645D"/>
    <w:rsid w:val="62E16B5F"/>
    <w:rsid w:val="62E57334"/>
    <w:rsid w:val="635B1143"/>
    <w:rsid w:val="63E605D3"/>
    <w:rsid w:val="649354A2"/>
    <w:rsid w:val="64BC72C8"/>
    <w:rsid w:val="664805B8"/>
    <w:rsid w:val="666C79D1"/>
    <w:rsid w:val="67B825B7"/>
    <w:rsid w:val="67EE6F4A"/>
    <w:rsid w:val="68121833"/>
    <w:rsid w:val="686D30B2"/>
    <w:rsid w:val="68F52B8B"/>
    <w:rsid w:val="69013CA8"/>
    <w:rsid w:val="690F418B"/>
    <w:rsid w:val="695D4A1A"/>
    <w:rsid w:val="69C877BD"/>
    <w:rsid w:val="69F02687"/>
    <w:rsid w:val="6A700F0C"/>
    <w:rsid w:val="6A7A2736"/>
    <w:rsid w:val="6A7B4B9C"/>
    <w:rsid w:val="6AD55730"/>
    <w:rsid w:val="6B814D22"/>
    <w:rsid w:val="6B884B09"/>
    <w:rsid w:val="6BF77E77"/>
    <w:rsid w:val="6C270618"/>
    <w:rsid w:val="6C89456C"/>
    <w:rsid w:val="6C99373E"/>
    <w:rsid w:val="6D687088"/>
    <w:rsid w:val="6D6F59C7"/>
    <w:rsid w:val="6D8401EB"/>
    <w:rsid w:val="6D9C298F"/>
    <w:rsid w:val="6ECF34F4"/>
    <w:rsid w:val="6F1A42A0"/>
    <w:rsid w:val="6F380EF1"/>
    <w:rsid w:val="6FA629D4"/>
    <w:rsid w:val="70B47527"/>
    <w:rsid w:val="70BB2EF0"/>
    <w:rsid w:val="711E75BD"/>
    <w:rsid w:val="715A196E"/>
    <w:rsid w:val="716550A2"/>
    <w:rsid w:val="71FE12AC"/>
    <w:rsid w:val="72801DBE"/>
    <w:rsid w:val="72AB2FE8"/>
    <w:rsid w:val="73070334"/>
    <w:rsid w:val="73110A8A"/>
    <w:rsid w:val="73D425F7"/>
    <w:rsid w:val="74292B39"/>
    <w:rsid w:val="74C10E66"/>
    <w:rsid w:val="750A5172"/>
    <w:rsid w:val="750B3051"/>
    <w:rsid w:val="75614BD4"/>
    <w:rsid w:val="756310F8"/>
    <w:rsid w:val="76274B15"/>
    <w:rsid w:val="762C5A1F"/>
    <w:rsid w:val="765B63CE"/>
    <w:rsid w:val="76933951"/>
    <w:rsid w:val="7697404C"/>
    <w:rsid w:val="76F86DB9"/>
    <w:rsid w:val="770C5B97"/>
    <w:rsid w:val="77342219"/>
    <w:rsid w:val="77405CDA"/>
    <w:rsid w:val="775D348F"/>
    <w:rsid w:val="776D3298"/>
    <w:rsid w:val="77F84DDA"/>
    <w:rsid w:val="78782A0D"/>
    <w:rsid w:val="78AC5790"/>
    <w:rsid w:val="78B626A1"/>
    <w:rsid w:val="78BA3098"/>
    <w:rsid w:val="796B4E06"/>
    <w:rsid w:val="79A2171F"/>
    <w:rsid w:val="79A252FF"/>
    <w:rsid w:val="79D33056"/>
    <w:rsid w:val="79E323AD"/>
    <w:rsid w:val="7AA409AF"/>
    <w:rsid w:val="7AA634E6"/>
    <w:rsid w:val="7AF4293B"/>
    <w:rsid w:val="7B1A7E3F"/>
    <w:rsid w:val="7B21417A"/>
    <w:rsid w:val="7C0425AD"/>
    <w:rsid w:val="7C2431EB"/>
    <w:rsid w:val="7C26369C"/>
    <w:rsid w:val="7C9E5A24"/>
    <w:rsid w:val="7CC444C2"/>
    <w:rsid w:val="7CC97E23"/>
    <w:rsid w:val="7CEA02E8"/>
    <w:rsid w:val="7D1259D2"/>
    <w:rsid w:val="7D204086"/>
    <w:rsid w:val="7D62117D"/>
    <w:rsid w:val="7D9F6596"/>
    <w:rsid w:val="7E3E1EF2"/>
    <w:rsid w:val="7E4E6EC3"/>
    <w:rsid w:val="7EBC421D"/>
    <w:rsid w:val="7EF74FC9"/>
    <w:rsid w:val="7F5A38D2"/>
    <w:rsid w:val="7FB712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semiHidden="0" w:uiPriority="0" w:unhideWhenUsed="0" w:qFormat="1"/>
    <w:lsdException w:name="heading 3" w:semiHidden="0" w:uiPriority="0" w:unhideWhenUsed="0" w:qFormat="1"/>
    <w:lsdException w:name="toc 1"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031E"/>
    <w:pPr>
      <w:spacing w:beforeLines="50" w:afterLines="50" w:line="259" w:lineRule="auto"/>
      <w:jc w:val="both"/>
    </w:pPr>
    <w:rPr>
      <w:rFonts w:ascii="Times New Roman" w:eastAsia="宋体" w:hAnsi="Times New Roman" w:cs="Times New Roman"/>
      <w:kern w:val="2"/>
      <w:sz w:val="21"/>
    </w:rPr>
  </w:style>
  <w:style w:type="paragraph" w:styleId="1">
    <w:name w:val="heading 1"/>
    <w:basedOn w:val="a"/>
    <w:next w:val="a"/>
    <w:qFormat/>
    <w:rsid w:val="0003031E"/>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03031E"/>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03031E"/>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03031E"/>
    <w:pPr>
      <w:spacing w:line="240" w:lineRule="auto"/>
    </w:pPr>
    <w:rPr>
      <w:rFonts w:ascii="Tahoma" w:hAnsi="Tahoma" w:cs="Tahoma"/>
      <w:sz w:val="16"/>
      <w:szCs w:val="16"/>
    </w:rPr>
  </w:style>
  <w:style w:type="paragraph" w:styleId="a4">
    <w:name w:val="annotation text"/>
    <w:basedOn w:val="a"/>
    <w:link w:val="Char0"/>
    <w:uiPriority w:val="99"/>
    <w:semiHidden/>
    <w:unhideWhenUsed/>
    <w:qFormat/>
    <w:rsid w:val="0003031E"/>
    <w:pPr>
      <w:jc w:val="left"/>
    </w:pPr>
  </w:style>
  <w:style w:type="paragraph" w:styleId="a5">
    <w:name w:val="Body Text"/>
    <w:basedOn w:val="a"/>
    <w:qFormat/>
    <w:rsid w:val="0003031E"/>
    <w:pPr>
      <w:spacing w:after="120"/>
    </w:pPr>
  </w:style>
  <w:style w:type="paragraph" w:styleId="a6">
    <w:name w:val="Balloon Text"/>
    <w:basedOn w:val="a"/>
    <w:link w:val="Char1"/>
    <w:uiPriority w:val="99"/>
    <w:semiHidden/>
    <w:unhideWhenUsed/>
    <w:qFormat/>
    <w:rsid w:val="0003031E"/>
    <w:pPr>
      <w:spacing w:line="240" w:lineRule="auto"/>
    </w:pPr>
    <w:rPr>
      <w:rFonts w:ascii="Microsoft YaHei UI" w:eastAsia="Microsoft YaHei UI"/>
      <w:sz w:val="18"/>
      <w:szCs w:val="18"/>
    </w:rPr>
  </w:style>
  <w:style w:type="paragraph" w:styleId="a7">
    <w:name w:val="footer"/>
    <w:basedOn w:val="a"/>
    <w:link w:val="Char2"/>
    <w:uiPriority w:val="99"/>
    <w:unhideWhenUsed/>
    <w:qFormat/>
    <w:rsid w:val="0003031E"/>
    <w:pPr>
      <w:tabs>
        <w:tab w:val="center" w:pos="4153"/>
        <w:tab w:val="right" w:pos="8306"/>
      </w:tabs>
      <w:snapToGrid w:val="0"/>
      <w:jc w:val="left"/>
    </w:pPr>
    <w:rPr>
      <w:sz w:val="18"/>
      <w:szCs w:val="18"/>
    </w:rPr>
  </w:style>
  <w:style w:type="paragraph" w:styleId="a8">
    <w:name w:val="header"/>
    <w:basedOn w:val="a"/>
    <w:link w:val="Char3"/>
    <w:semiHidden/>
    <w:qFormat/>
    <w:rsid w:val="0003031E"/>
    <w:pPr>
      <w:tabs>
        <w:tab w:val="center" w:pos="4320"/>
        <w:tab w:val="right" w:pos="8640"/>
      </w:tabs>
      <w:spacing w:line="240" w:lineRule="auto"/>
    </w:pPr>
  </w:style>
  <w:style w:type="paragraph" w:styleId="10">
    <w:name w:val="toc 1"/>
    <w:basedOn w:val="a"/>
    <w:next w:val="a"/>
    <w:uiPriority w:val="99"/>
    <w:semiHidden/>
    <w:unhideWhenUsed/>
    <w:qFormat/>
    <w:rsid w:val="0003031E"/>
    <w:rPr>
      <w:rFonts w:eastAsiaTheme="minorEastAsia"/>
      <w:b/>
      <w:i/>
      <w:sz w:val="20"/>
    </w:rPr>
  </w:style>
  <w:style w:type="paragraph" w:styleId="a9">
    <w:name w:val="table of figures"/>
    <w:basedOn w:val="a"/>
    <w:next w:val="a"/>
    <w:uiPriority w:val="99"/>
    <w:semiHidden/>
    <w:unhideWhenUsed/>
    <w:qFormat/>
    <w:rsid w:val="0003031E"/>
    <w:pPr>
      <w:ind w:leftChars="200" w:left="200" w:hangingChars="200" w:hanging="200"/>
    </w:pPr>
  </w:style>
  <w:style w:type="paragraph" w:styleId="20">
    <w:name w:val="toc 2"/>
    <w:basedOn w:val="a"/>
    <w:next w:val="a"/>
    <w:uiPriority w:val="99"/>
    <w:semiHidden/>
    <w:unhideWhenUsed/>
    <w:qFormat/>
    <w:rsid w:val="0003031E"/>
    <w:pPr>
      <w:ind w:leftChars="200" w:left="420"/>
    </w:pPr>
    <w:rPr>
      <w:b/>
      <w:i/>
      <w:sz w:val="20"/>
    </w:rPr>
  </w:style>
  <w:style w:type="paragraph" w:styleId="aa">
    <w:name w:val="annotation subject"/>
    <w:basedOn w:val="a4"/>
    <w:next w:val="a4"/>
    <w:link w:val="Char4"/>
    <w:uiPriority w:val="99"/>
    <w:semiHidden/>
    <w:unhideWhenUsed/>
    <w:qFormat/>
    <w:rsid w:val="0003031E"/>
    <w:pPr>
      <w:spacing w:line="240" w:lineRule="auto"/>
      <w:jc w:val="both"/>
    </w:pPr>
    <w:rPr>
      <w:b/>
      <w:bCs/>
      <w:sz w:val="20"/>
    </w:rPr>
  </w:style>
  <w:style w:type="table" w:styleId="ab">
    <w:name w:val="Table Grid"/>
    <w:basedOn w:val="a1"/>
    <w:uiPriority w:val="99"/>
    <w:semiHidden/>
    <w:unhideWhenUsed/>
    <w:qFormat/>
    <w:rsid w:val="0003031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unhideWhenUsed/>
    <w:qFormat/>
    <w:rsid w:val="0003031E"/>
    <w:rPr>
      <w:sz w:val="16"/>
      <w:szCs w:val="16"/>
    </w:rPr>
  </w:style>
  <w:style w:type="character" w:customStyle="1" w:styleId="Char1">
    <w:name w:val="批注框文本 Char"/>
    <w:basedOn w:val="a0"/>
    <w:link w:val="a6"/>
    <w:uiPriority w:val="99"/>
    <w:semiHidden/>
    <w:qFormat/>
    <w:rsid w:val="0003031E"/>
    <w:rPr>
      <w:rFonts w:ascii="Microsoft YaHei UI" w:eastAsia="Microsoft YaHei UI"/>
      <w:kern w:val="2"/>
      <w:sz w:val="18"/>
      <w:szCs w:val="18"/>
    </w:rPr>
  </w:style>
  <w:style w:type="paragraph" w:customStyle="1" w:styleId="YJ-Proposal">
    <w:name w:val="YJ-Proposal"/>
    <w:basedOn w:val="a"/>
    <w:qFormat/>
    <w:rsid w:val="0003031E"/>
    <w:pPr>
      <w:numPr>
        <w:numId w:val="2"/>
      </w:numPr>
    </w:pPr>
    <w:rPr>
      <w:rFonts w:eastAsiaTheme="minorEastAsia"/>
      <w:b/>
      <w:bCs/>
      <w:i/>
      <w:iCs/>
      <w:sz w:val="20"/>
      <w:lang w:val="en-GB" w:eastAsia="en-US"/>
    </w:rPr>
  </w:style>
  <w:style w:type="paragraph" w:customStyle="1" w:styleId="YJ-Observation">
    <w:name w:val="YJ-Observation"/>
    <w:basedOn w:val="YJ-Proposal"/>
    <w:qFormat/>
    <w:rsid w:val="0003031E"/>
    <w:pPr>
      <w:numPr>
        <w:numId w:val="3"/>
      </w:numPr>
      <w:tabs>
        <w:tab w:val="left" w:pos="420"/>
      </w:tabs>
    </w:pPr>
  </w:style>
  <w:style w:type="paragraph" w:customStyle="1" w:styleId="sub-proposal">
    <w:name w:val="sub-proposal"/>
    <w:basedOn w:val="YJ-Proposal"/>
    <w:next w:val="a"/>
    <w:qFormat/>
    <w:rsid w:val="0003031E"/>
    <w:pPr>
      <w:numPr>
        <w:numId w:val="4"/>
      </w:numPr>
    </w:pPr>
  </w:style>
  <w:style w:type="paragraph" w:customStyle="1" w:styleId="sub-observation">
    <w:name w:val="sub-observation"/>
    <w:basedOn w:val="sub-proposal"/>
    <w:next w:val="a"/>
    <w:qFormat/>
    <w:rsid w:val="0003031E"/>
  </w:style>
  <w:style w:type="paragraph" w:customStyle="1" w:styleId="References">
    <w:name w:val="References"/>
    <w:basedOn w:val="a"/>
    <w:qFormat/>
    <w:rsid w:val="0003031E"/>
    <w:pPr>
      <w:numPr>
        <w:numId w:val="5"/>
      </w:numPr>
      <w:spacing w:after="60"/>
    </w:pPr>
    <w:rPr>
      <w:szCs w:val="16"/>
    </w:rPr>
  </w:style>
  <w:style w:type="paragraph" w:styleId="ad">
    <w:name w:val="List Paragraph"/>
    <w:basedOn w:val="a"/>
    <w:uiPriority w:val="34"/>
    <w:qFormat/>
    <w:rsid w:val="0003031E"/>
    <w:pPr>
      <w:spacing w:beforeLines="0" w:line="240" w:lineRule="auto"/>
      <w:ind w:left="720"/>
      <w:contextualSpacing/>
    </w:pPr>
    <w:rPr>
      <w:rFonts w:eastAsia="Times New Roman"/>
      <w:sz w:val="24"/>
      <w:szCs w:val="24"/>
    </w:rPr>
  </w:style>
  <w:style w:type="paragraph" w:customStyle="1" w:styleId="11">
    <w:name w:val="样式1"/>
    <w:basedOn w:val="a"/>
    <w:qFormat/>
    <w:rsid w:val="0003031E"/>
  </w:style>
  <w:style w:type="character" w:customStyle="1" w:styleId="Char3">
    <w:name w:val="页眉 Char"/>
    <w:basedOn w:val="a0"/>
    <w:link w:val="a8"/>
    <w:semiHidden/>
    <w:qFormat/>
    <w:rsid w:val="0003031E"/>
    <w:rPr>
      <w:rFonts w:eastAsia="宋体"/>
      <w:kern w:val="2"/>
      <w:sz w:val="21"/>
    </w:rPr>
  </w:style>
  <w:style w:type="character" w:customStyle="1" w:styleId="Char0">
    <w:name w:val="批注文字 Char"/>
    <w:basedOn w:val="a0"/>
    <w:link w:val="a4"/>
    <w:uiPriority w:val="99"/>
    <w:semiHidden/>
    <w:qFormat/>
    <w:rsid w:val="0003031E"/>
    <w:rPr>
      <w:rFonts w:eastAsia="宋体"/>
      <w:kern w:val="2"/>
      <w:sz w:val="21"/>
    </w:rPr>
  </w:style>
  <w:style w:type="character" w:customStyle="1" w:styleId="Char4">
    <w:name w:val="批注主题 Char"/>
    <w:basedOn w:val="Char0"/>
    <w:link w:val="aa"/>
    <w:uiPriority w:val="99"/>
    <w:semiHidden/>
    <w:qFormat/>
    <w:rsid w:val="0003031E"/>
    <w:rPr>
      <w:rFonts w:eastAsia="宋体"/>
      <w:b/>
      <w:bCs/>
      <w:kern w:val="2"/>
      <w:sz w:val="21"/>
    </w:rPr>
  </w:style>
  <w:style w:type="paragraph" w:customStyle="1" w:styleId="B1">
    <w:name w:val="B1"/>
    <w:basedOn w:val="a"/>
    <w:qFormat/>
    <w:rsid w:val="0003031E"/>
    <w:pPr>
      <w:ind w:left="568" w:hanging="284"/>
    </w:pPr>
    <w:rPr>
      <w:lang w:val="zh-CN"/>
    </w:rPr>
  </w:style>
  <w:style w:type="character" w:customStyle="1" w:styleId="Char">
    <w:name w:val="文档结构图 Char"/>
    <w:basedOn w:val="a0"/>
    <w:link w:val="a3"/>
    <w:uiPriority w:val="99"/>
    <w:semiHidden/>
    <w:qFormat/>
    <w:rsid w:val="0003031E"/>
    <w:rPr>
      <w:rFonts w:ascii="Tahoma" w:eastAsia="宋体" w:hAnsi="Tahoma" w:cs="Tahoma"/>
      <w:kern w:val="2"/>
      <w:sz w:val="16"/>
      <w:szCs w:val="16"/>
    </w:rPr>
  </w:style>
  <w:style w:type="character" w:customStyle="1" w:styleId="Char2">
    <w:name w:val="页脚 Char"/>
    <w:basedOn w:val="a0"/>
    <w:link w:val="a7"/>
    <w:uiPriority w:val="99"/>
    <w:qFormat/>
    <w:rsid w:val="0003031E"/>
    <w:rPr>
      <w:rFonts w:eastAsia="宋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1B8219-88D9-4559-8615-38ACBFC4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731</Words>
  <Characters>4171</Characters>
  <Application>Microsoft Office Word</Application>
  <DocSecurity>0</DocSecurity>
  <Lines>34</Lines>
  <Paragraphs>9</Paragraphs>
  <ScaleCrop>false</ScaleCrop>
  <Company>HP</Company>
  <LinksUpToDate>false</LinksUpToDate>
  <CharactersWithSpaces>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9</cp:revision>
  <dcterms:created xsi:type="dcterms:W3CDTF">2020-08-04T07:51:00Z</dcterms:created>
  <dcterms:modified xsi:type="dcterms:W3CDTF">2020-08-05T07:56:00Z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